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F" w:rsidRPr="00BB3DF2" w:rsidRDefault="00B0385E" w:rsidP="00AE2724">
      <w:pPr>
        <w:jc w:val="both"/>
        <w:rPr>
          <w:rFonts w:cs="Tahoma"/>
        </w:rPr>
      </w:pPr>
      <w:r w:rsidRPr="00BB3DF2">
        <w:rPr>
          <w:rFonts w:cs="Tahoma"/>
          <w:noProof/>
        </w:rPr>
        <w:drawing>
          <wp:anchor distT="0" distB="0" distL="114300" distR="114300" simplePos="0" relativeHeight="251659264" behindDoc="0" locked="0" layoutInCell="1" allowOverlap="1" wp14:anchorId="5D9109AB" wp14:editId="202CC52E">
            <wp:simplePos x="0" y="0"/>
            <wp:positionH relativeFrom="column">
              <wp:posOffset>4381500</wp:posOffset>
            </wp:positionH>
            <wp:positionV relativeFrom="paragraph">
              <wp:posOffset>10160</wp:posOffset>
            </wp:positionV>
            <wp:extent cx="2025992" cy="711835"/>
            <wp:effectExtent l="0" t="0" r="0" b="0"/>
            <wp:wrapNone/>
            <wp:docPr id="2" name="Slika 2" descr="C:\Users\Primož\AppData\Local\Microsoft\Windows\INetCache\Content.Word\kome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mož\AppData\Local\Microsoft\Windows\INetCache\Content.Word\komenta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992"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051" w:rsidRPr="00BB3DF2">
        <w:rPr>
          <w:rFonts w:cs="Tahoma"/>
          <w:noProof/>
        </w:rPr>
        <w:drawing>
          <wp:inline distT="0" distB="0" distL="0" distR="0" wp14:anchorId="70954A4D" wp14:editId="2A506EF3">
            <wp:extent cx="855876" cy="49989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7257" cy="512380"/>
                    </a:xfrm>
                    <a:prstGeom prst="rect">
                      <a:avLst/>
                    </a:prstGeom>
                  </pic:spPr>
                </pic:pic>
              </a:graphicData>
            </a:graphic>
          </wp:inline>
        </w:drawing>
      </w:r>
    </w:p>
    <w:p w:rsidR="00A0633F" w:rsidRPr="00BB3DF2" w:rsidRDefault="00A0633F" w:rsidP="00AE2724">
      <w:pPr>
        <w:jc w:val="both"/>
        <w:rPr>
          <w:rFonts w:cs="Tahoma"/>
        </w:rPr>
      </w:pPr>
    </w:p>
    <w:p w:rsidR="001722D4" w:rsidRPr="00BB3DF2" w:rsidRDefault="00303E26" w:rsidP="00BB3DF2">
      <w:pPr>
        <w:rPr>
          <w:rFonts w:cs="Tahoma"/>
          <w:b/>
          <w:color w:val="5C141F"/>
          <w:sz w:val="36"/>
          <w:szCs w:val="36"/>
        </w:rPr>
      </w:pPr>
      <w:r>
        <w:rPr>
          <w:rFonts w:cs="Tahoma"/>
          <w:b/>
          <w:color w:val="5C141F"/>
          <w:sz w:val="36"/>
          <w:szCs w:val="36"/>
        </w:rPr>
        <w:t>Skrivnosti gibanja cen črnega zlata</w:t>
      </w:r>
      <w:r w:rsidR="00937EF2">
        <w:rPr>
          <w:rFonts w:cs="Tahoma"/>
          <w:b/>
          <w:color w:val="5C141F"/>
          <w:sz w:val="36"/>
          <w:szCs w:val="36"/>
        </w:rPr>
        <w:t xml:space="preserve"> </w:t>
      </w:r>
    </w:p>
    <w:p w:rsidR="0037077C" w:rsidRPr="00BB3DF2" w:rsidRDefault="00D7569B" w:rsidP="00AE2724">
      <w:pPr>
        <w:jc w:val="both"/>
        <w:rPr>
          <w:rFonts w:cs="Tahoma"/>
          <w:sz w:val="16"/>
          <w:szCs w:val="16"/>
        </w:rPr>
      </w:pPr>
      <w:r>
        <w:rPr>
          <w:rFonts w:cs="Tahoma"/>
          <w:sz w:val="16"/>
          <w:szCs w:val="16"/>
        </w:rPr>
        <w:t>9</w:t>
      </w:r>
      <w:r w:rsidR="00EE1002" w:rsidRPr="00BB3DF2">
        <w:rPr>
          <w:rFonts w:cs="Tahoma"/>
          <w:sz w:val="16"/>
          <w:szCs w:val="16"/>
        </w:rPr>
        <w:t>.5.2016</w:t>
      </w:r>
    </w:p>
    <w:p w:rsidR="007A224F" w:rsidRDefault="00D7569B" w:rsidP="00AE2724">
      <w:pPr>
        <w:shd w:val="clear" w:color="auto" w:fill="F2DBDB" w:themeFill="accent2" w:themeFillTint="33"/>
        <w:jc w:val="both"/>
        <w:rPr>
          <w:rFonts w:cs="Tahoma"/>
          <w:b/>
          <w:i/>
          <w:color w:val="000000"/>
          <w:sz w:val="22"/>
        </w:rPr>
      </w:pPr>
      <w:r>
        <w:rPr>
          <w:rFonts w:cs="Tahoma"/>
          <w:b/>
          <w:i/>
          <w:color w:val="000000"/>
          <w:sz w:val="22"/>
        </w:rPr>
        <w:t>Jutri lahko zopet pričakujemo višje cene naftnih derivatov, kar je posledica dviga cen surove nafte brent</w:t>
      </w:r>
      <w:r w:rsidR="007A4D20">
        <w:rPr>
          <w:rFonts w:cs="Tahoma"/>
          <w:b/>
          <w:i/>
          <w:color w:val="000000"/>
          <w:sz w:val="22"/>
        </w:rPr>
        <w:t xml:space="preserve"> na mednarodnih trgih. Prihodnje</w:t>
      </w:r>
      <w:r>
        <w:rPr>
          <w:rFonts w:cs="Tahoma"/>
          <w:b/>
          <w:i/>
          <w:color w:val="000000"/>
          <w:sz w:val="22"/>
        </w:rPr>
        <w:t xml:space="preserve"> gibanje ostaja negotovo, vendar </w:t>
      </w:r>
      <w:r w:rsidR="00592BF5">
        <w:rPr>
          <w:rFonts w:cs="Tahoma"/>
          <w:b/>
          <w:i/>
          <w:color w:val="000000"/>
          <w:sz w:val="22"/>
        </w:rPr>
        <w:t>bodo srednjeročne</w:t>
      </w:r>
      <w:r>
        <w:rPr>
          <w:rFonts w:cs="Tahoma"/>
          <w:b/>
          <w:i/>
          <w:color w:val="000000"/>
          <w:sz w:val="22"/>
        </w:rPr>
        <w:t xml:space="preserve"> cene </w:t>
      </w:r>
      <w:r w:rsidR="00303E26">
        <w:rPr>
          <w:rFonts w:cs="Tahoma"/>
          <w:b/>
          <w:i/>
          <w:color w:val="000000"/>
          <w:sz w:val="22"/>
        </w:rPr>
        <w:t>po naših ocenah v</w:t>
      </w:r>
      <w:r w:rsidR="007A4D20">
        <w:rPr>
          <w:rFonts w:cs="Tahoma"/>
          <w:b/>
          <w:i/>
          <w:color w:val="000000"/>
          <w:sz w:val="22"/>
        </w:rPr>
        <w:t>išje.</w:t>
      </w:r>
    </w:p>
    <w:p w:rsidR="000001FF" w:rsidRDefault="001D27D3" w:rsidP="00937EF2">
      <w:pPr>
        <w:jc w:val="both"/>
        <w:rPr>
          <w:rFonts w:cs="Tahoma"/>
          <w:sz w:val="22"/>
          <w:szCs w:val="22"/>
        </w:rPr>
      </w:pPr>
      <w:r>
        <w:rPr>
          <w:rFonts w:cs="Tahoma"/>
          <w:sz w:val="22"/>
          <w:szCs w:val="22"/>
        </w:rPr>
        <w:t>Aktualni dvig cene nafte proti nivojem okoli 45 USD za sodček pomeni najvišjo ceno nafte v tekočem letu, vendar je dvig cene v evrih ublažil padec dolarja v višini 5 %. Zaradi strukture končne prodajne cene goriv je vpliv padca cene surove nafte na končno</w:t>
      </w:r>
      <w:r w:rsidR="003669FC">
        <w:rPr>
          <w:rFonts w:cs="Tahoma"/>
          <w:sz w:val="22"/>
          <w:szCs w:val="22"/>
        </w:rPr>
        <w:t xml:space="preserve"> ceno manjši. K</w:t>
      </w:r>
      <w:r>
        <w:rPr>
          <w:rFonts w:cs="Tahoma"/>
          <w:sz w:val="22"/>
          <w:szCs w:val="22"/>
        </w:rPr>
        <w:t xml:space="preserve">ončna cena </w:t>
      </w:r>
      <w:r w:rsidR="003669FC">
        <w:rPr>
          <w:rFonts w:cs="Tahoma"/>
          <w:sz w:val="22"/>
          <w:szCs w:val="22"/>
        </w:rPr>
        <w:t xml:space="preserve">je namreč </w:t>
      </w:r>
      <w:r>
        <w:rPr>
          <w:rFonts w:cs="Tahoma"/>
          <w:sz w:val="22"/>
          <w:szCs w:val="22"/>
        </w:rPr>
        <w:t xml:space="preserve">sestavljena iz cene nafte, pribitka </w:t>
      </w:r>
      <w:r w:rsidR="00A242EA">
        <w:rPr>
          <w:rFonts w:cs="Tahoma"/>
          <w:sz w:val="22"/>
          <w:szCs w:val="22"/>
        </w:rPr>
        <w:t>rafinerije, veletrgov</w:t>
      </w:r>
      <w:r w:rsidR="00592BF5">
        <w:rPr>
          <w:rFonts w:cs="Tahoma"/>
          <w:sz w:val="22"/>
          <w:szCs w:val="22"/>
        </w:rPr>
        <w:t>ine, maloprodaje</w:t>
      </w:r>
      <w:r w:rsidR="00A242EA">
        <w:rPr>
          <w:rFonts w:cs="Tahoma"/>
          <w:sz w:val="22"/>
          <w:szCs w:val="22"/>
        </w:rPr>
        <w:t xml:space="preserve">, trošarin, okoljskih taks in DDV-ja. </w:t>
      </w:r>
      <w:r w:rsidR="000001FF">
        <w:rPr>
          <w:rFonts w:cs="Tahoma"/>
          <w:sz w:val="22"/>
          <w:szCs w:val="22"/>
        </w:rPr>
        <w:t xml:space="preserve">Cena surove nafte predstavlja pri neosvinčenem bencinu zgolj 20 % končne cene, pri kurilnem olju naraste ta delež na 35 %. </w:t>
      </w:r>
      <w:r w:rsidR="00A242EA">
        <w:rPr>
          <w:rFonts w:cs="Tahoma"/>
          <w:sz w:val="22"/>
          <w:szCs w:val="22"/>
        </w:rPr>
        <w:t xml:space="preserve">Z drugimi besedami bo končna </w:t>
      </w:r>
      <w:r w:rsidR="000001FF">
        <w:rPr>
          <w:rFonts w:cs="Tahoma"/>
          <w:sz w:val="22"/>
          <w:szCs w:val="22"/>
        </w:rPr>
        <w:t xml:space="preserve">maloprodajna </w:t>
      </w:r>
      <w:r w:rsidR="00A242EA">
        <w:rPr>
          <w:rFonts w:cs="Tahoma"/>
          <w:sz w:val="22"/>
          <w:szCs w:val="22"/>
        </w:rPr>
        <w:t xml:space="preserve">cena </w:t>
      </w:r>
      <w:r w:rsidR="000001FF">
        <w:rPr>
          <w:rFonts w:cs="Tahoma"/>
          <w:sz w:val="22"/>
          <w:szCs w:val="22"/>
        </w:rPr>
        <w:t xml:space="preserve">naftnega derivata </w:t>
      </w:r>
      <w:r w:rsidR="00A242EA">
        <w:rPr>
          <w:rFonts w:cs="Tahoma"/>
          <w:sz w:val="22"/>
          <w:szCs w:val="22"/>
        </w:rPr>
        <w:t xml:space="preserve">zrasla manj kot cena osnovne surovine, podobno kot je končna prodajna </w:t>
      </w:r>
      <w:r w:rsidR="003669FC">
        <w:rPr>
          <w:rFonts w:cs="Tahoma"/>
          <w:sz w:val="22"/>
          <w:szCs w:val="22"/>
        </w:rPr>
        <w:t>cena upadla manj v preteklosti.</w:t>
      </w:r>
    </w:p>
    <w:p w:rsidR="000001FF" w:rsidRPr="000001FF" w:rsidRDefault="000001FF" w:rsidP="00937EF2">
      <w:pPr>
        <w:jc w:val="both"/>
        <w:rPr>
          <w:rFonts w:cs="Tahoma"/>
          <w:b/>
          <w:sz w:val="22"/>
          <w:szCs w:val="22"/>
        </w:rPr>
      </w:pPr>
      <w:r w:rsidRPr="000001FF">
        <w:rPr>
          <w:rFonts w:cs="Tahoma"/>
          <w:b/>
          <w:sz w:val="22"/>
          <w:szCs w:val="22"/>
        </w:rPr>
        <w:t>Pribitki na ceno v prihodnje isti ali celo višji</w:t>
      </w:r>
    </w:p>
    <w:p w:rsidR="001D27D3" w:rsidRDefault="00A242EA" w:rsidP="00937EF2">
      <w:pPr>
        <w:jc w:val="both"/>
        <w:rPr>
          <w:rFonts w:cs="Tahoma"/>
          <w:sz w:val="22"/>
          <w:szCs w:val="22"/>
        </w:rPr>
      </w:pPr>
      <w:r>
        <w:rPr>
          <w:rFonts w:cs="Tahoma"/>
          <w:sz w:val="22"/>
          <w:szCs w:val="22"/>
        </w:rPr>
        <w:t>Zaradi jasne zavezanosti EU</w:t>
      </w:r>
      <w:r w:rsidR="00592BF5">
        <w:rPr>
          <w:rFonts w:cs="Tahoma"/>
          <w:sz w:val="22"/>
          <w:szCs w:val="22"/>
        </w:rPr>
        <w:t xml:space="preserve"> k</w:t>
      </w:r>
      <w:r>
        <w:rPr>
          <w:rFonts w:cs="Tahoma"/>
          <w:sz w:val="22"/>
          <w:szCs w:val="22"/>
        </w:rPr>
        <w:t xml:space="preserve"> </w:t>
      </w:r>
      <w:r w:rsidR="000001FF">
        <w:rPr>
          <w:rFonts w:cs="Tahoma"/>
          <w:sz w:val="22"/>
          <w:szCs w:val="22"/>
        </w:rPr>
        <w:t>obnovljivim</w:t>
      </w:r>
      <w:r>
        <w:rPr>
          <w:rFonts w:cs="Tahoma"/>
          <w:sz w:val="22"/>
          <w:szCs w:val="22"/>
        </w:rPr>
        <w:t xml:space="preserve"> virom energije in znižanju odvisnosti od Rusije ni pričakovati, da bi se pribitki na osnovno ceno v prihodnje zniževali, kvečjemu obratno. Zaradi relativno neelastičnega povpraševanja po nafti so trošarine pomemben javno-finančni vir države, precej verjetno pa je, da bo končna cena nafte financirala prehod na vozilo na novo generacijo pogona: elektriko. </w:t>
      </w:r>
      <w:r w:rsidRPr="00A242EA">
        <w:rPr>
          <w:rFonts w:cs="Tahoma"/>
          <w:sz w:val="22"/>
          <w:szCs w:val="22"/>
        </w:rPr>
        <w:t xml:space="preserve">Po podatkih Evropske okoljske agencije je Slovenija na 7. mestu po </w:t>
      </w:r>
      <w:r>
        <w:rPr>
          <w:rFonts w:cs="Tahoma"/>
          <w:sz w:val="22"/>
          <w:szCs w:val="22"/>
        </w:rPr>
        <w:t>višini trošarine</w:t>
      </w:r>
      <w:r w:rsidR="003669FC">
        <w:rPr>
          <w:rFonts w:cs="Tahoma"/>
          <w:sz w:val="22"/>
          <w:szCs w:val="22"/>
        </w:rPr>
        <w:t xml:space="preserve"> na dizel v EU</w:t>
      </w:r>
      <w:r w:rsidRPr="00A242EA">
        <w:rPr>
          <w:rFonts w:cs="Tahoma"/>
          <w:sz w:val="22"/>
          <w:szCs w:val="22"/>
        </w:rPr>
        <w:t xml:space="preserve"> in na 13. mestu pri bencinu.</w:t>
      </w:r>
    </w:p>
    <w:p w:rsidR="00A242EA" w:rsidRPr="00BB7036" w:rsidRDefault="00BB7036" w:rsidP="00937EF2">
      <w:pPr>
        <w:jc w:val="both"/>
        <w:rPr>
          <w:rFonts w:cs="Tahoma"/>
          <w:b/>
          <w:sz w:val="22"/>
          <w:szCs w:val="22"/>
        </w:rPr>
      </w:pPr>
      <w:r w:rsidRPr="00BB7036">
        <w:rPr>
          <w:rFonts w:cs="Tahoma"/>
          <w:b/>
          <w:sz w:val="22"/>
          <w:szCs w:val="22"/>
        </w:rPr>
        <w:t>Ceno ne oblikuje</w:t>
      </w:r>
      <w:r w:rsidR="003669FC">
        <w:rPr>
          <w:rFonts w:cs="Tahoma"/>
          <w:b/>
          <w:sz w:val="22"/>
          <w:szCs w:val="22"/>
        </w:rPr>
        <w:t>ta</w:t>
      </w:r>
      <w:r w:rsidRPr="00BB7036">
        <w:rPr>
          <w:rFonts w:cs="Tahoma"/>
          <w:b/>
          <w:sz w:val="22"/>
          <w:szCs w:val="22"/>
        </w:rPr>
        <w:t xml:space="preserve"> le ponudba in povpraševanje, temveč tudi pričakovanja</w:t>
      </w:r>
    </w:p>
    <w:p w:rsidR="00BB7036" w:rsidRDefault="00BB7036" w:rsidP="00937EF2">
      <w:pPr>
        <w:jc w:val="both"/>
        <w:rPr>
          <w:rFonts w:cs="Tahoma"/>
          <w:sz w:val="22"/>
          <w:szCs w:val="22"/>
        </w:rPr>
      </w:pPr>
      <w:r>
        <w:rPr>
          <w:rFonts w:cs="Tahoma"/>
          <w:sz w:val="22"/>
          <w:szCs w:val="22"/>
        </w:rPr>
        <w:t xml:space="preserve">Stanje zalog nafte in presežka ponudbe nad povpraševanjem ne pojasnjujeta dobro končno ceno nafte. Nanjo imajo vpliv tudi pričakovanja o prihodnjem gibanju ponudbe in povpraševanja, ki so morda v danem trenutku celo precej oddaljena od realnih prihodnjih količin. Večja uporaba izvedenih inštrumentov pri kupcih, prodajalcih ter tudi špekulantih </w:t>
      </w:r>
      <w:r w:rsidR="003669FC">
        <w:rPr>
          <w:rFonts w:cs="Tahoma"/>
          <w:sz w:val="22"/>
          <w:szCs w:val="22"/>
        </w:rPr>
        <w:t>povečuje</w:t>
      </w:r>
      <w:r w:rsidR="003669FC">
        <w:rPr>
          <w:rFonts w:cs="Tahoma"/>
          <w:sz w:val="22"/>
          <w:szCs w:val="22"/>
        </w:rPr>
        <w:t xml:space="preserve"> </w:t>
      </w:r>
      <w:r>
        <w:rPr>
          <w:rFonts w:cs="Tahoma"/>
          <w:sz w:val="22"/>
          <w:szCs w:val="22"/>
        </w:rPr>
        <w:t>volatilnost cene nafte. Zaradi poceni denarja se številni finančni investitorji še vedno odločajo za nakup nafte, skladiščenje le-te na tankerju in kasnejšo dostavo po višjih cenah. Zaradi številnih potencialnih dogodkov, ki so praktično nenapovedljivi (denimo nedavni požar v Kanadi), je napoved</w:t>
      </w:r>
      <w:r w:rsidR="00303E26">
        <w:rPr>
          <w:rFonts w:cs="Tahoma"/>
          <w:sz w:val="22"/>
          <w:szCs w:val="22"/>
        </w:rPr>
        <w:t xml:space="preserve">ovanje cen resnično nehvaležno, tako na kratek, srednji kot tudi na dolgi rok. Visoke pretekle investicije v tej dejavnosti so znižale marginalne stroške črpanja, kar pomeni, da se ob izgradnji naftnega polja splača črpanje, tudi če cena ne pokriva začetnih stroškov investicije. Nove metode črpanja nafte iz skrilavcev spreminjajo ekonomiko v tej dejavnosti, podobno kot jo denimo Uber pri </w:t>
      </w:r>
      <w:r w:rsidR="003669FC">
        <w:rPr>
          <w:rFonts w:cs="Tahoma"/>
          <w:sz w:val="22"/>
          <w:szCs w:val="22"/>
        </w:rPr>
        <w:t>dejavnosti prevozov.</w:t>
      </w:r>
    </w:p>
    <w:p w:rsidR="00592BF5" w:rsidRPr="00592BF5" w:rsidRDefault="00592BF5" w:rsidP="00937EF2">
      <w:pPr>
        <w:jc w:val="both"/>
        <w:rPr>
          <w:rFonts w:cs="Tahoma"/>
          <w:b/>
          <w:sz w:val="22"/>
          <w:szCs w:val="22"/>
        </w:rPr>
      </w:pPr>
      <w:r w:rsidRPr="00592BF5">
        <w:rPr>
          <w:rFonts w:cs="Tahoma"/>
          <w:b/>
          <w:sz w:val="22"/>
          <w:szCs w:val="22"/>
        </w:rPr>
        <w:t xml:space="preserve">Cene nafte </w:t>
      </w:r>
      <w:r>
        <w:rPr>
          <w:rFonts w:cs="Tahoma"/>
          <w:b/>
          <w:sz w:val="22"/>
          <w:szCs w:val="22"/>
        </w:rPr>
        <w:t xml:space="preserve">po našem mnenju </w:t>
      </w:r>
      <w:r w:rsidRPr="00592BF5">
        <w:rPr>
          <w:rFonts w:cs="Tahoma"/>
          <w:b/>
          <w:sz w:val="22"/>
          <w:szCs w:val="22"/>
        </w:rPr>
        <w:t>še navzgor, naslednje leto pri 60 USD</w:t>
      </w:r>
    </w:p>
    <w:p w:rsidR="001D27D3" w:rsidRDefault="003669FC" w:rsidP="00937EF2">
      <w:pPr>
        <w:jc w:val="both"/>
        <w:rPr>
          <w:rFonts w:cs="Tahoma"/>
          <w:sz w:val="22"/>
          <w:szCs w:val="22"/>
        </w:rPr>
      </w:pPr>
      <w:r>
        <w:rPr>
          <w:rFonts w:cs="Tahoma"/>
          <w:sz w:val="22"/>
          <w:szCs w:val="22"/>
        </w:rPr>
        <w:t>Pri A</w:t>
      </w:r>
      <w:r w:rsidR="00592BF5">
        <w:rPr>
          <w:rFonts w:cs="Tahoma"/>
          <w:sz w:val="22"/>
          <w:szCs w:val="22"/>
        </w:rPr>
        <w:t>nalitiki GZS ocenjujemo, da bo povprečna cena sodčka nafte v letošnjem letu dosegla 48 USD na sodček in v naslednjem letu 60 USD. Glavni razlog na strani povpraševanja so boljši podatki o kitajskem in ameriškem gospodarstvu. Na strani ponudbe stečaji majhnih naftnih družb v ZDA pomenijo konsolidacijo trga, prav tako je v zadnjem času porasla verjetnost kredibilnega dogovora koalicije naftnih proizvajalk.</w:t>
      </w:r>
      <w:bookmarkStart w:id="0" w:name="_GoBack"/>
      <w:bookmarkEnd w:id="0"/>
    </w:p>
    <w:p w:rsidR="00CE38EC" w:rsidRDefault="001D27D3" w:rsidP="00BB7036">
      <w:pPr>
        <w:jc w:val="both"/>
        <w:rPr>
          <w:rFonts w:cs="Tahoma"/>
          <w:sz w:val="22"/>
          <w:szCs w:val="22"/>
        </w:rPr>
      </w:pPr>
      <w:r w:rsidRPr="001D27D3">
        <w:rPr>
          <w:rFonts w:cs="Tahoma"/>
          <w:sz w:val="22"/>
          <w:szCs w:val="22"/>
        </w:rPr>
        <w:t xml:space="preserve"> </w:t>
      </w:r>
    </w:p>
    <w:p w:rsidR="00BB3DF2" w:rsidRDefault="00BB3DF2" w:rsidP="00BB3DF2">
      <w:pPr>
        <w:rPr>
          <w:rFonts w:cs="Tahoma"/>
        </w:rPr>
      </w:pPr>
    </w:p>
    <w:p w:rsidR="00B0385E" w:rsidRPr="00BB3DF2" w:rsidRDefault="00BB3DF2" w:rsidP="004F08A8">
      <w:pPr>
        <w:rPr>
          <w:rFonts w:cs="Tahoma"/>
        </w:rPr>
      </w:pPr>
      <w:r w:rsidRPr="00BB3DF2">
        <w:rPr>
          <w:rFonts w:cs="Tahoma"/>
        </w:rPr>
        <w:t xml:space="preserve"> </w:t>
      </w:r>
      <w:r w:rsidR="001722D4" w:rsidRPr="00BB3DF2">
        <w:rPr>
          <w:rFonts w:cs="Tahoma"/>
          <w:noProof/>
        </w:rPr>
        <w:drawing>
          <wp:inline distT="0" distB="0" distL="0" distR="0">
            <wp:extent cx="1682151" cy="51987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100" cy="534698"/>
                    </a:xfrm>
                    <a:prstGeom prst="rect">
                      <a:avLst/>
                    </a:prstGeom>
                    <a:noFill/>
                    <a:ln>
                      <a:noFill/>
                    </a:ln>
                  </pic:spPr>
                </pic:pic>
              </a:graphicData>
            </a:graphic>
          </wp:inline>
        </w:drawing>
      </w:r>
    </w:p>
    <w:sectPr w:rsidR="00B0385E" w:rsidRPr="00BB3DF2" w:rsidSect="00B0385E">
      <w:pgSz w:w="11906" w:h="16838"/>
      <w:pgMar w:top="899" w:right="1106" w:bottom="900" w:left="900" w:header="708" w:footer="708" w:gutter="0"/>
      <w:pgBorders w:offsetFrom="page">
        <w:top w:val="single" w:sz="4" w:space="24" w:color="5C141F"/>
        <w:left w:val="single" w:sz="4" w:space="24" w:color="5C141F"/>
        <w:bottom w:val="single" w:sz="4" w:space="24" w:color="5C141F"/>
        <w:right w:val="single" w:sz="4" w:space="24" w:color="5C141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DF" w:rsidRDefault="000E38DF">
      <w:r>
        <w:separator/>
      </w:r>
    </w:p>
  </w:endnote>
  <w:endnote w:type="continuationSeparator" w:id="0">
    <w:p w:rsidR="000E38DF" w:rsidRDefault="000E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DF" w:rsidRDefault="000E38DF">
      <w:r>
        <w:separator/>
      </w:r>
    </w:p>
  </w:footnote>
  <w:footnote w:type="continuationSeparator" w:id="0">
    <w:p w:rsidR="000E38DF" w:rsidRDefault="000E3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368"/>
    <w:multiLevelType w:val="hybridMultilevel"/>
    <w:tmpl w:val="A31E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26CA1"/>
    <w:multiLevelType w:val="hybridMultilevel"/>
    <w:tmpl w:val="32EA86A6"/>
    <w:lvl w:ilvl="0" w:tplc="2730C59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550C0581"/>
    <w:multiLevelType w:val="hybridMultilevel"/>
    <w:tmpl w:val="9EA82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D2D5A"/>
    <w:multiLevelType w:val="hybridMultilevel"/>
    <w:tmpl w:val="4010FF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FD6596A"/>
    <w:multiLevelType w:val="hybridMultilevel"/>
    <w:tmpl w:val="F460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8"/>
  </w:num>
  <w:num w:numId="4">
    <w:abstractNumId w:val="2"/>
  </w:num>
  <w:num w:numId="5">
    <w:abstractNumId w:val="6"/>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01FF"/>
    <w:rsid w:val="00004F74"/>
    <w:rsid w:val="00010118"/>
    <w:rsid w:val="0001292A"/>
    <w:rsid w:val="000179F0"/>
    <w:rsid w:val="0004298A"/>
    <w:rsid w:val="00075F45"/>
    <w:rsid w:val="0007798F"/>
    <w:rsid w:val="00087F84"/>
    <w:rsid w:val="000B1DCB"/>
    <w:rsid w:val="000C3489"/>
    <w:rsid w:val="000D5F2D"/>
    <w:rsid w:val="000E3519"/>
    <w:rsid w:val="000E38DF"/>
    <w:rsid w:val="000F0679"/>
    <w:rsid w:val="000F760C"/>
    <w:rsid w:val="00113FFA"/>
    <w:rsid w:val="00117B50"/>
    <w:rsid w:val="00122345"/>
    <w:rsid w:val="00126461"/>
    <w:rsid w:val="0013044A"/>
    <w:rsid w:val="00147D93"/>
    <w:rsid w:val="00157098"/>
    <w:rsid w:val="00161D93"/>
    <w:rsid w:val="00166A19"/>
    <w:rsid w:val="00167D1A"/>
    <w:rsid w:val="001722D4"/>
    <w:rsid w:val="00175F68"/>
    <w:rsid w:val="001876AD"/>
    <w:rsid w:val="001A339D"/>
    <w:rsid w:val="001B061D"/>
    <w:rsid w:val="001C6A39"/>
    <w:rsid w:val="001D27D3"/>
    <w:rsid w:val="00213ECE"/>
    <w:rsid w:val="00216667"/>
    <w:rsid w:val="002354DE"/>
    <w:rsid w:val="00236642"/>
    <w:rsid w:val="00274E94"/>
    <w:rsid w:val="0028048D"/>
    <w:rsid w:val="00294FD8"/>
    <w:rsid w:val="002C48F8"/>
    <w:rsid w:val="002D3F30"/>
    <w:rsid w:val="002D6454"/>
    <w:rsid w:val="002E542C"/>
    <w:rsid w:val="00303E26"/>
    <w:rsid w:val="00310C89"/>
    <w:rsid w:val="00311763"/>
    <w:rsid w:val="00322678"/>
    <w:rsid w:val="0032731D"/>
    <w:rsid w:val="00333BB8"/>
    <w:rsid w:val="003359C7"/>
    <w:rsid w:val="00344A7C"/>
    <w:rsid w:val="003504C8"/>
    <w:rsid w:val="00357A71"/>
    <w:rsid w:val="003669FC"/>
    <w:rsid w:val="0037077C"/>
    <w:rsid w:val="00373E9F"/>
    <w:rsid w:val="00380BD6"/>
    <w:rsid w:val="003A40FF"/>
    <w:rsid w:val="003B0B18"/>
    <w:rsid w:val="003B3D2E"/>
    <w:rsid w:val="003C0408"/>
    <w:rsid w:val="003C277E"/>
    <w:rsid w:val="003E000B"/>
    <w:rsid w:val="003E081A"/>
    <w:rsid w:val="003E4F96"/>
    <w:rsid w:val="003E60C8"/>
    <w:rsid w:val="003E7125"/>
    <w:rsid w:val="003F291A"/>
    <w:rsid w:val="00400289"/>
    <w:rsid w:val="00406585"/>
    <w:rsid w:val="00412273"/>
    <w:rsid w:val="00423CCB"/>
    <w:rsid w:val="00426FD6"/>
    <w:rsid w:val="00431F63"/>
    <w:rsid w:val="004370F3"/>
    <w:rsid w:val="00441580"/>
    <w:rsid w:val="00450779"/>
    <w:rsid w:val="00455151"/>
    <w:rsid w:val="00460EAB"/>
    <w:rsid w:val="00475864"/>
    <w:rsid w:val="004A08AF"/>
    <w:rsid w:val="004C0EB4"/>
    <w:rsid w:val="004E51D6"/>
    <w:rsid w:val="004F08A8"/>
    <w:rsid w:val="004F5AE6"/>
    <w:rsid w:val="00502CF0"/>
    <w:rsid w:val="00526B3A"/>
    <w:rsid w:val="0053342E"/>
    <w:rsid w:val="005664C2"/>
    <w:rsid w:val="005730E4"/>
    <w:rsid w:val="00577C82"/>
    <w:rsid w:val="00592BF5"/>
    <w:rsid w:val="005962E1"/>
    <w:rsid w:val="005A08B9"/>
    <w:rsid w:val="005B0EF4"/>
    <w:rsid w:val="005B2206"/>
    <w:rsid w:val="005B4D94"/>
    <w:rsid w:val="005B5E34"/>
    <w:rsid w:val="005D0757"/>
    <w:rsid w:val="005F245A"/>
    <w:rsid w:val="005F4533"/>
    <w:rsid w:val="00613AF9"/>
    <w:rsid w:val="00616AF9"/>
    <w:rsid w:val="00620428"/>
    <w:rsid w:val="00632897"/>
    <w:rsid w:val="006529C4"/>
    <w:rsid w:val="0066281D"/>
    <w:rsid w:val="00663C5F"/>
    <w:rsid w:val="00677609"/>
    <w:rsid w:val="006805CE"/>
    <w:rsid w:val="00695578"/>
    <w:rsid w:val="006A4A48"/>
    <w:rsid w:val="006A4B99"/>
    <w:rsid w:val="006C3A23"/>
    <w:rsid w:val="006C3F14"/>
    <w:rsid w:val="006C6B19"/>
    <w:rsid w:val="006D1D4E"/>
    <w:rsid w:val="006E496E"/>
    <w:rsid w:val="006F1F66"/>
    <w:rsid w:val="006F7FF6"/>
    <w:rsid w:val="00705950"/>
    <w:rsid w:val="00706D9A"/>
    <w:rsid w:val="00707017"/>
    <w:rsid w:val="00741971"/>
    <w:rsid w:val="00742437"/>
    <w:rsid w:val="007444C8"/>
    <w:rsid w:val="00757F91"/>
    <w:rsid w:val="00767D96"/>
    <w:rsid w:val="00771324"/>
    <w:rsid w:val="00771728"/>
    <w:rsid w:val="007724CC"/>
    <w:rsid w:val="007779BD"/>
    <w:rsid w:val="007A224F"/>
    <w:rsid w:val="007A4D20"/>
    <w:rsid w:val="007A6798"/>
    <w:rsid w:val="007A7DE1"/>
    <w:rsid w:val="007C78F8"/>
    <w:rsid w:val="007D00D4"/>
    <w:rsid w:val="007D5FBE"/>
    <w:rsid w:val="007E18B0"/>
    <w:rsid w:val="007E3FE7"/>
    <w:rsid w:val="007F6388"/>
    <w:rsid w:val="00803776"/>
    <w:rsid w:val="00816CF9"/>
    <w:rsid w:val="00834884"/>
    <w:rsid w:val="008420C7"/>
    <w:rsid w:val="008467EA"/>
    <w:rsid w:val="00847582"/>
    <w:rsid w:val="008567A0"/>
    <w:rsid w:val="00866B16"/>
    <w:rsid w:val="00874B5B"/>
    <w:rsid w:val="00875D1A"/>
    <w:rsid w:val="008766EE"/>
    <w:rsid w:val="00895625"/>
    <w:rsid w:val="008A0DFE"/>
    <w:rsid w:val="008B1B6F"/>
    <w:rsid w:val="008D3679"/>
    <w:rsid w:val="008D57F9"/>
    <w:rsid w:val="008F11FB"/>
    <w:rsid w:val="008F2450"/>
    <w:rsid w:val="00900388"/>
    <w:rsid w:val="00903A3C"/>
    <w:rsid w:val="00904E1A"/>
    <w:rsid w:val="0091124E"/>
    <w:rsid w:val="00922473"/>
    <w:rsid w:val="00935857"/>
    <w:rsid w:val="00936004"/>
    <w:rsid w:val="00937EF2"/>
    <w:rsid w:val="009467D0"/>
    <w:rsid w:val="00956E56"/>
    <w:rsid w:val="00965271"/>
    <w:rsid w:val="00975CE3"/>
    <w:rsid w:val="009815E0"/>
    <w:rsid w:val="00990047"/>
    <w:rsid w:val="009903C5"/>
    <w:rsid w:val="00993700"/>
    <w:rsid w:val="009A52FE"/>
    <w:rsid w:val="009B3D1A"/>
    <w:rsid w:val="009D3848"/>
    <w:rsid w:val="009F3051"/>
    <w:rsid w:val="00A05B02"/>
    <w:rsid w:val="00A0633F"/>
    <w:rsid w:val="00A242EA"/>
    <w:rsid w:val="00A3191C"/>
    <w:rsid w:val="00A40BD7"/>
    <w:rsid w:val="00A50CEE"/>
    <w:rsid w:val="00A607C2"/>
    <w:rsid w:val="00A649B9"/>
    <w:rsid w:val="00A71BCF"/>
    <w:rsid w:val="00A72AEA"/>
    <w:rsid w:val="00A75B2D"/>
    <w:rsid w:val="00A77B1D"/>
    <w:rsid w:val="00A84F80"/>
    <w:rsid w:val="00A96DBA"/>
    <w:rsid w:val="00AB3CA9"/>
    <w:rsid w:val="00AB56D5"/>
    <w:rsid w:val="00AC7952"/>
    <w:rsid w:val="00AD1A80"/>
    <w:rsid w:val="00AD42B3"/>
    <w:rsid w:val="00AD66E1"/>
    <w:rsid w:val="00AD7BC0"/>
    <w:rsid w:val="00AE2724"/>
    <w:rsid w:val="00AE7CC6"/>
    <w:rsid w:val="00AF1A5A"/>
    <w:rsid w:val="00B01757"/>
    <w:rsid w:val="00B01BD5"/>
    <w:rsid w:val="00B01EBD"/>
    <w:rsid w:val="00B0385E"/>
    <w:rsid w:val="00B1197A"/>
    <w:rsid w:val="00B21A07"/>
    <w:rsid w:val="00B224E0"/>
    <w:rsid w:val="00B22964"/>
    <w:rsid w:val="00B35830"/>
    <w:rsid w:val="00B45F35"/>
    <w:rsid w:val="00B53084"/>
    <w:rsid w:val="00B530C8"/>
    <w:rsid w:val="00B80E26"/>
    <w:rsid w:val="00B857F1"/>
    <w:rsid w:val="00B9018E"/>
    <w:rsid w:val="00B926A8"/>
    <w:rsid w:val="00B93BB0"/>
    <w:rsid w:val="00BA59E0"/>
    <w:rsid w:val="00BB1720"/>
    <w:rsid w:val="00BB3DF2"/>
    <w:rsid w:val="00BB6B83"/>
    <w:rsid w:val="00BB7036"/>
    <w:rsid w:val="00BC188D"/>
    <w:rsid w:val="00BC4702"/>
    <w:rsid w:val="00BD7421"/>
    <w:rsid w:val="00BE5AA3"/>
    <w:rsid w:val="00C04227"/>
    <w:rsid w:val="00C15818"/>
    <w:rsid w:val="00C21898"/>
    <w:rsid w:val="00C278DA"/>
    <w:rsid w:val="00C350F1"/>
    <w:rsid w:val="00C62E70"/>
    <w:rsid w:val="00C65FF9"/>
    <w:rsid w:val="00C774BB"/>
    <w:rsid w:val="00C820A8"/>
    <w:rsid w:val="00C92326"/>
    <w:rsid w:val="00C9343D"/>
    <w:rsid w:val="00CA7BC0"/>
    <w:rsid w:val="00CD1598"/>
    <w:rsid w:val="00CE1DDA"/>
    <w:rsid w:val="00CE26BE"/>
    <w:rsid w:val="00CE38EC"/>
    <w:rsid w:val="00CF2326"/>
    <w:rsid w:val="00CF7DAB"/>
    <w:rsid w:val="00D01807"/>
    <w:rsid w:val="00D144D0"/>
    <w:rsid w:val="00D254C9"/>
    <w:rsid w:val="00D275F4"/>
    <w:rsid w:val="00D40F25"/>
    <w:rsid w:val="00D50DC9"/>
    <w:rsid w:val="00D67439"/>
    <w:rsid w:val="00D7569B"/>
    <w:rsid w:val="00D768FF"/>
    <w:rsid w:val="00D77DC7"/>
    <w:rsid w:val="00D83247"/>
    <w:rsid w:val="00D90A83"/>
    <w:rsid w:val="00DC0B59"/>
    <w:rsid w:val="00DD67CE"/>
    <w:rsid w:val="00DF2A5F"/>
    <w:rsid w:val="00DF36BD"/>
    <w:rsid w:val="00DF4212"/>
    <w:rsid w:val="00DF4F62"/>
    <w:rsid w:val="00E003DC"/>
    <w:rsid w:val="00E01BB6"/>
    <w:rsid w:val="00E06FD9"/>
    <w:rsid w:val="00E14188"/>
    <w:rsid w:val="00E31654"/>
    <w:rsid w:val="00E41B7A"/>
    <w:rsid w:val="00E522AE"/>
    <w:rsid w:val="00E63509"/>
    <w:rsid w:val="00E66D70"/>
    <w:rsid w:val="00E92FDB"/>
    <w:rsid w:val="00EA0CE6"/>
    <w:rsid w:val="00EA1E83"/>
    <w:rsid w:val="00EC1840"/>
    <w:rsid w:val="00EC1892"/>
    <w:rsid w:val="00EC57C5"/>
    <w:rsid w:val="00EE1002"/>
    <w:rsid w:val="00EF6C08"/>
    <w:rsid w:val="00F03DB5"/>
    <w:rsid w:val="00F2223B"/>
    <w:rsid w:val="00F31968"/>
    <w:rsid w:val="00F42398"/>
    <w:rsid w:val="00F462DF"/>
    <w:rsid w:val="00F46B2B"/>
    <w:rsid w:val="00F47EEA"/>
    <w:rsid w:val="00F53117"/>
    <w:rsid w:val="00F56533"/>
    <w:rsid w:val="00F66334"/>
    <w:rsid w:val="00F93936"/>
    <w:rsid w:val="00FA06E1"/>
    <w:rsid w:val="00FA73D0"/>
    <w:rsid w:val="00FB3CAF"/>
    <w:rsid w:val="00FC0670"/>
    <w:rsid w:val="00FC23CC"/>
    <w:rsid w:val="00FC3A57"/>
    <w:rsid w:val="00FF00FA"/>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DC2784-EE7A-438E-860F-ED0D16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link w:val="Naslov1Znak"/>
    <w:uiPriority w:val="99"/>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E694D"/>
    <w:rPr>
      <w:rFonts w:asciiTheme="majorHAnsi" w:eastAsiaTheme="majorEastAsia" w:hAnsiTheme="majorHAnsi" w:cstheme="majorBidi"/>
      <w:b/>
      <w:bCs/>
      <w:kern w:val="32"/>
      <w:sz w:val="32"/>
      <w:szCs w:val="32"/>
    </w:rPr>
  </w:style>
  <w:style w:type="paragraph" w:styleId="Glava">
    <w:name w:val="header"/>
    <w:basedOn w:val="Navaden"/>
    <w:link w:val="GlavaZnak"/>
    <w:uiPriority w:val="99"/>
    <w:rsid w:val="00C774BB"/>
    <w:pPr>
      <w:tabs>
        <w:tab w:val="center" w:pos="4153"/>
        <w:tab w:val="right" w:pos="8306"/>
      </w:tabs>
    </w:pPr>
  </w:style>
  <w:style w:type="character" w:customStyle="1" w:styleId="GlavaZnak">
    <w:name w:val="Glava Znak"/>
    <w:basedOn w:val="Privzetapisavaodstavka"/>
    <w:link w:val="Glava"/>
    <w:uiPriority w:val="99"/>
    <w:semiHidden/>
    <w:rsid w:val="008E694D"/>
    <w:rPr>
      <w:rFonts w:ascii="Tahoma" w:hAnsi="Tahoma"/>
      <w:sz w:val="24"/>
      <w:szCs w:val="24"/>
    </w:rPr>
  </w:style>
  <w:style w:type="paragraph" w:styleId="Noga">
    <w:name w:val="footer"/>
    <w:basedOn w:val="Navaden"/>
    <w:link w:val="NogaZnak"/>
    <w:uiPriority w:val="99"/>
    <w:rsid w:val="00C774BB"/>
    <w:pPr>
      <w:tabs>
        <w:tab w:val="center" w:pos="4153"/>
        <w:tab w:val="right" w:pos="8306"/>
      </w:tabs>
    </w:pPr>
  </w:style>
  <w:style w:type="character" w:customStyle="1" w:styleId="NogaZnak">
    <w:name w:val="Noga Znak"/>
    <w:basedOn w:val="Privzetapisavaodstavka"/>
    <w:link w:val="Noga"/>
    <w:uiPriority w:val="99"/>
    <w:semiHidden/>
    <w:rsid w:val="008E694D"/>
    <w:rPr>
      <w:rFonts w:ascii="Tahoma" w:hAnsi="Tahoma"/>
      <w:sz w:val="24"/>
      <w:szCs w:val="24"/>
    </w:rPr>
  </w:style>
  <w:style w:type="character" w:styleId="tevilkastrani">
    <w:name w:val="page number"/>
    <w:basedOn w:val="Privzetapisavaodstavka"/>
    <w:uiPriority w:val="99"/>
    <w:rsid w:val="00C774BB"/>
    <w:rPr>
      <w:rFonts w:cs="Times New Roman"/>
    </w:rPr>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uiPriority w:val="99"/>
    <w:rsid w:val="00D90A83"/>
    <w:pPr>
      <w:spacing w:after="9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uiPriority w:val="99"/>
    <w:semiHidden/>
    <w:rsid w:val="00A649B9"/>
    <w:rPr>
      <w:rFonts w:ascii="Arial" w:hAnsi="Arial"/>
      <w:color w:val="000080"/>
      <w:sz w:val="20"/>
    </w:rPr>
  </w:style>
  <w:style w:type="character" w:styleId="Hiperpovezava">
    <w:name w:val="Hyperlink"/>
    <w:basedOn w:val="Privzetapisavaodstavka"/>
    <w:uiPriority w:val="99"/>
    <w:rsid w:val="00B926A8"/>
    <w:rPr>
      <w:rFonts w:cs="Times New Roman"/>
      <w:color w:val="0000FF"/>
      <w:u w:val="single"/>
    </w:rPr>
  </w:style>
  <w:style w:type="character" w:customStyle="1" w:styleId="st">
    <w:name w:val="st"/>
    <w:basedOn w:val="Privzetapisavaodstavka"/>
    <w:uiPriority w:val="99"/>
    <w:rsid w:val="00771324"/>
    <w:rPr>
      <w:rFonts w:cs="Times New Roman"/>
    </w:rPr>
  </w:style>
  <w:style w:type="character" w:styleId="Poudarek">
    <w:name w:val="Emphasis"/>
    <w:basedOn w:val="Privzetapisavaodstavka"/>
    <w:uiPriority w:val="20"/>
    <w:qFormat/>
    <w:rsid w:val="00771324"/>
    <w:rPr>
      <w:rFonts w:cs="Times New Roman"/>
      <w:i/>
    </w:rPr>
  </w:style>
  <w:style w:type="paragraph" w:styleId="Golobesedilo">
    <w:name w:val="Plain Text"/>
    <w:basedOn w:val="Navaden"/>
    <w:link w:val="GolobesediloZnak"/>
    <w:uiPriority w:val="99"/>
    <w:rsid w:val="00956E56"/>
    <w:pPr>
      <w:spacing w:after="0"/>
    </w:pPr>
    <w:rPr>
      <w:rFonts w:ascii="Calibri" w:hAnsi="Calibri"/>
      <w:sz w:val="22"/>
      <w:szCs w:val="21"/>
      <w:lang w:eastAsia="en-US"/>
    </w:rPr>
  </w:style>
  <w:style w:type="character" w:customStyle="1" w:styleId="GolobesediloZnak">
    <w:name w:val="Golo besedilo Znak"/>
    <w:basedOn w:val="Privzetapisavaodstavka"/>
    <w:link w:val="Golobesedilo"/>
    <w:uiPriority w:val="99"/>
    <w:locked/>
    <w:rsid w:val="00956E56"/>
    <w:rPr>
      <w:rFonts w:ascii="Calibri" w:eastAsia="Times New Roman" w:hAnsi="Calibri" w:cs="Times New Roman"/>
      <w:sz w:val="21"/>
      <w:szCs w:val="21"/>
      <w:lang w:eastAsia="en-US"/>
    </w:rPr>
  </w:style>
  <w:style w:type="paragraph" w:styleId="Besedilooblaka">
    <w:name w:val="Balloon Text"/>
    <w:basedOn w:val="Navaden"/>
    <w:link w:val="BesedilooblakaZnak"/>
    <w:uiPriority w:val="99"/>
    <w:semiHidden/>
    <w:unhideWhenUsed/>
    <w:rsid w:val="00B45F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5F35"/>
    <w:rPr>
      <w:rFonts w:ascii="Segoe UI" w:hAnsi="Segoe UI" w:cs="Segoe UI"/>
      <w:sz w:val="18"/>
      <w:szCs w:val="18"/>
    </w:rPr>
  </w:style>
  <w:style w:type="character" w:styleId="Pripombasklic">
    <w:name w:val="annotation reference"/>
    <w:basedOn w:val="Privzetapisavaodstavka"/>
    <w:uiPriority w:val="99"/>
    <w:semiHidden/>
    <w:unhideWhenUsed/>
    <w:rsid w:val="00C92326"/>
    <w:rPr>
      <w:sz w:val="16"/>
      <w:szCs w:val="16"/>
    </w:rPr>
  </w:style>
  <w:style w:type="paragraph" w:styleId="Pripombabesedilo">
    <w:name w:val="annotation text"/>
    <w:basedOn w:val="Navaden"/>
    <w:link w:val="PripombabesediloZnak"/>
    <w:uiPriority w:val="99"/>
    <w:semiHidden/>
    <w:unhideWhenUsed/>
    <w:rsid w:val="00C92326"/>
    <w:rPr>
      <w:sz w:val="20"/>
      <w:szCs w:val="20"/>
    </w:rPr>
  </w:style>
  <w:style w:type="character" w:customStyle="1" w:styleId="PripombabesediloZnak">
    <w:name w:val="Pripomba – besedilo Znak"/>
    <w:basedOn w:val="Privzetapisavaodstavka"/>
    <w:link w:val="Pripombabesedilo"/>
    <w:uiPriority w:val="99"/>
    <w:semiHidden/>
    <w:rsid w:val="00C92326"/>
    <w:rPr>
      <w:rFonts w:ascii="Tahoma" w:hAnsi="Tahoma"/>
      <w:sz w:val="20"/>
      <w:szCs w:val="20"/>
    </w:rPr>
  </w:style>
  <w:style w:type="paragraph" w:styleId="Zadevapripombe">
    <w:name w:val="annotation subject"/>
    <w:basedOn w:val="Pripombabesedilo"/>
    <w:next w:val="Pripombabesedilo"/>
    <w:link w:val="ZadevapripombeZnak"/>
    <w:uiPriority w:val="99"/>
    <w:semiHidden/>
    <w:unhideWhenUsed/>
    <w:rsid w:val="00C92326"/>
    <w:rPr>
      <w:b/>
      <w:bCs/>
    </w:rPr>
  </w:style>
  <w:style w:type="character" w:customStyle="1" w:styleId="ZadevapripombeZnak">
    <w:name w:val="Zadeva pripombe Znak"/>
    <w:basedOn w:val="PripombabesediloZnak"/>
    <w:link w:val="Zadevapripombe"/>
    <w:uiPriority w:val="99"/>
    <w:semiHidden/>
    <w:rsid w:val="00C92326"/>
    <w:rPr>
      <w:rFonts w:ascii="Tahoma" w:hAnsi="Tahoma"/>
      <w:b/>
      <w:bCs/>
      <w:sz w:val="20"/>
      <w:szCs w:val="20"/>
    </w:rPr>
  </w:style>
  <w:style w:type="paragraph" w:styleId="Odstavekseznama">
    <w:name w:val="List Paragraph"/>
    <w:basedOn w:val="Navaden"/>
    <w:uiPriority w:val="34"/>
    <w:qFormat/>
    <w:rsid w:val="00F56533"/>
    <w:pPr>
      <w:spacing w:after="160" w:line="252" w:lineRule="auto"/>
      <w:ind w:left="720"/>
      <w:contextualSpacing/>
    </w:pPr>
    <w:rPr>
      <w:rFonts w:ascii="Calibri" w:eastAsiaTheme="minorHAnsi" w:hAnsi="Calibri"/>
      <w:sz w:val="22"/>
      <w:szCs w:val="22"/>
      <w:lang w:eastAsia="en-US"/>
    </w:rPr>
  </w:style>
  <w:style w:type="table" w:styleId="Navadnatabela1">
    <w:name w:val="Plain Table 1"/>
    <w:basedOn w:val="Navadnatabela"/>
    <w:uiPriority w:val="41"/>
    <w:rsid w:val="00AE27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rivzetapisavaodstavka"/>
    <w:rsid w:val="007444C8"/>
  </w:style>
  <w:style w:type="character" w:styleId="Krepko">
    <w:name w:val="Strong"/>
    <w:basedOn w:val="Privzetapisavaodstavka"/>
    <w:uiPriority w:val="22"/>
    <w:qFormat/>
    <w:locked/>
    <w:rsid w:val="003B3D2E"/>
    <w:rPr>
      <w:b/>
      <w:bCs/>
    </w:rPr>
  </w:style>
  <w:style w:type="character" w:customStyle="1" w:styleId="lexitem">
    <w:name w:val="lexitem"/>
    <w:basedOn w:val="Privzetapisavaodstavka"/>
    <w:rsid w:val="00B1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3394">
      <w:bodyDiv w:val="1"/>
      <w:marLeft w:val="0"/>
      <w:marRight w:val="0"/>
      <w:marTop w:val="0"/>
      <w:marBottom w:val="0"/>
      <w:divBdr>
        <w:top w:val="none" w:sz="0" w:space="0" w:color="auto"/>
        <w:left w:val="none" w:sz="0" w:space="0" w:color="auto"/>
        <w:bottom w:val="none" w:sz="0" w:space="0" w:color="auto"/>
        <w:right w:val="none" w:sz="0" w:space="0" w:color="auto"/>
      </w:divBdr>
    </w:div>
    <w:div w:id="1604142968">
      <w:bodyDiv w:val="1"/>
      <w:marLeft w:val="0"/>
      <w:marRight w:val="0"/>
      <w:marTop w:val="0"/>
      <w:marBottom w:val="0"/>
      <w:divBdr>
        <w:top w:val="none" w:sz="0" w:space="0" w:color="auto"/>
        <w:left w:val="none" w:sz="0" w:space="0" w:color="auto"/>
        <w:bottom w:val="none" w:sz="0" w:space="0" w:color="auto"/>
        <w:right w:val="none" w:sz="0" w:space="0" w:color="auto"/>
      </w:divBdr>
    </w:div>
    <w:div w:id="2107579502">
      <w:marLeft w:val="0"/>
      <w:marRight w:val="0"/>
      <w:marTop w:val="0"/>
      <w:marBottom w:val="0"/>
      <w:divBdr>
        <w:top w:val="none" w:sz="0" w:space="0" w:color="auto"/>
        <w:left w:val="none" w:sz="0" w:space="0" w:color="auto"/>
        <w:bottom w:val="none" w:sz="0" w:space="0" w:color="auto"/>
        <w:right w:val="none" w:sz="0" w:space="0" w:color="auto"/>
      </w:divBdr>
      <w:divsChild>
        <w:div w:id="2107579504">
          <w:marLeft w:val="0"/>
          <w:marRight w:val="0"/>
          <w:marTop w:val="0"/>
          <w:marBottom w:val="0"/>
          <w:divBdr>
            <w:top w:val="none" w:sz="0" w:space="0" w:color="auto"/>
            <w:left w:val="none" w:sz="0" w:space="0" w:color="auto"/>
            <w:bottom w:val="none" w:sz="0" w:space="0" w:color="auto"/>
            <w:right w:val="none" w:sz="0" w:space="0" w:color="auto"/>
          </w:divBdr>
          <w:divsChild>
            <w:div w:id="2107579507">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2107579503">
      <w:marLeft w:val="0"/>
      <w:marRight w:val="0"/>
      <w:marTop w:val="0"/>
      <w:marBottom w:val="0"/>
      <w:divBdr>
        <w:top w:val="none" w:sz="0" w:space="0" w:color="auto"/>
        <w:left w:val="none" w:sz="0" w:space="0" w:color="auto"/>
        <w:bottom w:val="none" w:sz="0" w:space="0" w:color="auto"/>
        <w:right w:val="none" w:sz="0" w:space="0" w:color="auto"/>
      </w:divBdr>
    </w:div>
    <w:div w:id="2107579505">
      <w:marLeft w:val="0"/>
      <w:marRight w:val="0"/>
      <w:marTop w:val="0"/>
      <w:marBottom w:val="0"/>
      <w:divBdr>
        <w:top w:val="none" w:sz="0" w:space="0" w:color="auto"/>
        <w:left w:val="none" w:sz="0" w:space="0" w:color="auto"/>
        <w:bottom w:val="none" w:sz="0" w:space="0" w:color="auto"/>
        <w:right w:val="none" w:sz="0" w:space="0" w:color="auto"/>
      </w:divBdr>
    </w:div>
    <w:div w:id="2107579506">
      <w:marLeft w:val="0"/>
      <w:marRight w:val="0"/>
      <w:marTop w:val="0"/>
      <w:marBottom w:val="0"/>
      <w:divBdr>
        <w:top w:val="none" w:sz="0" w:space="0" w:color="auto"/>
        <w:left w:val="none" w:sz="0" w:space="0" w:color="auto"/>
        <w:bottom w:val="none" w:sz="0" w:space="0" w:color="auto"/>
        <w:right w:val="none" w:sz="0" w:space="0" w:color="auto"/>
      </w:divBdr>
    </w:div>
    <w:div w:id="210757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3E8153-3C68-4F05-BD6C-CC39B88C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2682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Gospodarska Zbornica Slovenije</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Tajda Pelicon</cp:lastModifiedBy>
  <cp:revision>3</cp:revision>
  <cp:lastPrinted>2016-02-04T14:34:00Z</cp:lastPrinted>
  <dcterms:created xsi:type="dcterms:W3CDTF">2016-05-09T09:04:00Z</dcterms:created>
  <dcterms:modified xsi:type="dcterms:W3CDTF">2016-05-09T09:12:00Z</dcterms:modified>
</cp:coreProperties>
</file>